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ПОЯСНИТЕЛЬНАЯ ЗАПИСКА</w:t>
      </w:r>
    </w:p>
    <w:p>
      <w:pPr>
        <w:spacing w:line="260" w:lineRule="exact"/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к проекту закона Алтайского края «О внесении изменений в закон </w:t>
      </w:r>
    </w:p>
    <w:p>
      <w:pPr>
        <w:spacing w:line="260" w:lineRule="exact"/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Алтайского края «О применении индивидуальными предпринимателями патентной системы налогообложения на территории Алтайского края»</w:t>
      </w:r>
    </w:p>
    <w:p>
      <w:pPr>
        <w:ind w:firstLine="709"/>
        <w:jc w:val="both"/>
        <w:rPr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Настоящий проект закона Алтайского края подготовлен с целью совершенствования действующей в крае патентной системы налогообложения, уточняет её отдельные элементы и направлен на снижение налоговой нагрузки на индивидуальных предпринимателей, занятых в знач</w:t>
      </w:r>
      <w:r>
        <w:rPr>
          <w:sz w:val="27"/>
          <w:szCs w:val="27"/>
        </w:rPr>
        <w:t xml:space="preserve">имых направлениях развития региональной экономики.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частности, проектом данного закона предусматривается возможность снижения на 50 процентов установленных </w:t>
      </w:r>
      <w:r>
        <w:rPr>
          <w:color w:val="000000"/>
          <w:sz w:val="27"/>
          <w:szCs w:val="27"/>
        </w:rPr>
        <w:t xml:space="preserve">законом Алтайского края от 30.10.2012 № 78-ЗС «О применении индивидуальными предпринимателями патен</w:t>
      </w:r>
      <w:r>
        <w:rPr>
          <w:color w:val="000000"/>
          <w:sz w:val="27"/>
          <w:szCs w:val="27"/>
        </w:rPr>
        <w:t xml:space="preserve">тной системы налогообложения на территории Алтайского края» (далее - </w:t>
      </w:r>
      <w:r>
        <w:rPr>
          <w:sz w:val="27"/>
          <w:szCs w:val="27"/>
        </w:rPr>
        <w:t xml:space="preserve">«Закон») размеров потенциально возможного годового дохода для индивидуальных предпринимателей, признанных в соответствии с Федеральным законом от 24.07.2007 № 209-ФЗ «О развитии малого и </w:t>
      </w:r>
      <w:r>
        <w:rPr>
          <w:sz w:val="27"/>
          <w:szCs w:val="27"/>
        </w:rPr>
        <w:t xml:space="preserve">среднего предпринимательства в Российской Федерации» социальными предприятиями. 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Проектом закона также предусмотрено снижение налоговой нагрузки на индивидуальных предпринимателей, осуществляющих деятельность в области дошкольного и дополнительного образов</w:t>
      </w:r>
      <w:r>
        <w:rPr>
          <w:sz w:val="27"/>
          <w:szCs w:val="27"/>
        </w:rPr>
        <w:t xml:space="preserve">ания, а также в сфере оказания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</w:t>
      </w:r>
      <w:r>
        <w:rPr>
          <w:sz w:val="27"/>
          <w:szCs w:val="27"/>
        </w:rPr>
        <w:t xml:space="preserve">едназначенные для оказания таких услуг, в том числе: регулярные перевозки пассажиров автобусами в городском и пригородном сообщении, регулярные перевозки пассажиров автобусами в междугородном сообщении.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Дополнительно в рамках дифференциации налоговой нагру</w:t>
      </w:r>
      <w:r>
        <w:rPr>
          <w:sz w:val="27"/>
          <w:szCs w:val="27"/>
        </w:rPr>
        <w:t xml:space="preserve">зки при осуществлении розничной торговли, осуществляемой через объекты стационарной торговой сети, не имеющей торговых залов, а также через объекты нестационарной торговой сети устанавливается отдельный размер потенциально возможного годового дохода по нап</w:t>
      </w:r>
      <w:r>
        <w:rPr>
          <w:sz w:val="27"/>
          <w:szCs w:val="27"/>
        </w:rPr>
        <w:t xml:space="preserve">равлению розничной торговли с использованием торговых автоматов.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Предлагаемые изменения будут способствовать увеличению количества приобретаемых патентов и, соответственно, увеличению налоговых поступлений в бюджет края.</w:t>
      </w:r>
    </w:p>
    <w:p>
      <w:pPr>
        <w:widowControl w:val="o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Реализация закона не повлечет допол</w:t>
      </w:r>
      <w:r>
        <w:rPr>
          <w:color w:val="000000"/>
          <w:sz w:val="27"/>
          <w:szCs w:val="27"/>
        </w:rPr>
        <w:t xml:space="preserve">нительных расходов из краевого бюджета.</w:t>
      </w:r>
    </w:p>
    <w:p>
      <w:pPr>
        <w:widowControl w:val="off"/>
        <w:ind w:firstLine="709"/>
        <w:jc w:val="both"/>
        <w:rPr>
          <w:color w:val="000000"/>
          <w:sz w:val="27"/>
          <w:szCs w:val="27"/>
        </w:rPr>
      </w:pPr>
    </w:p>
    <w:p>
      <w:pPr>
        <w:widowControl w:val="off"/>
        <w:ind w:firstLine="709"/>
        <w:jc w:val="both"/>
        <w:rPr>
          <w:color w:val="000000"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>
        <w:trPr>
          <w:trHeight w:val="1134"/>
        </w:trP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ind w:right="-1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Губернатор Алтайского края</w:t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after="200" w:line="240" w:lineRule="exact"/>
              <w:ind w:left="85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Уполномоченный по защите прав предпринимателей в Алтайском крае</w:t>
            </w:r>
          </w:p>
        </w:tc>
      </w:tr>
      <w:t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after="40"/>
              <w:ind w:right="-1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 В.П. Томенко</w:t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after="40"/>
              <w:ind w:left="567"/>
              <w:jc w:val="right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 А.Г. Осипов</w:t>
            </w:r>
          </w:p>
        </w:tc>
      </w:tr>
    </w:tbl>
    <w:p>
      <w:pPr>
        <w:widowControl w:val="off"/>
        <w:ind w:firstLine="709"/>
        <w:jc w:val="both"/>
        <w:rPr>
          <w:color w:val="000000"/>
          <w:sz w:val="27"/>
          <w:szCs w:val="27"/>
        </w:rPr>
      </w:pPr>
    </w:p>
    <w:sectPr>
      <w:headerReference w:type="default" r:id="rId8"/>
      <w:pgSz w:w="11906" w:h="16838"/>
      <w:pgMar w:top="1134" w:right="567" w:bottom="709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773709326"/>
      <w:docPartObj>
        <w:docPartGallery w:val="Page Numbers (Top of Page)"/>
        <w:docPartUnique w:val="true"/>
      </w:docPartObj>
    </w:sdtPr>
    <w:sdtContent>
      <w:p>
        <w:pPr>
          <w:pStyle w:val="afa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2f2f2" w:themeFill="text1" w:themeFillTint="0D"/>
      </w:tcPr>
    </w:tblStylePr>
    <w:tblStylePr w:type="band1Horz"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a8a8a" w:themeFill="text1" w:themeFillTint="75"/>
      </w:tcPr>
    </w:tblStylePr>
    <w:tblStylePr w:type="band1Horz">
      <w:tcPr>
        <w:shd w:val="clear" w:color="ffffff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band1Vert">
      <w:tcPr>
        <w:shd w:val="clear" w:color="ffffff" w:fill="b3d0eb" w:themeFill="accent1" w:themeFillTint="75"/>
      </w:tcPr>
    </w:tblStylePr>
    <w:tblStylePr w:type="band1Horz">
      <w:tcPr>
        <w:shd w:val="clear" w:color="ffffff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fe28a" w:themeFill="accent4" w:themeFillTint="75"/>
      </w:tcPr>
    </w:tblStylePr>
    <w:tblStylePr w:type="band1Horz">
      <w:tcPr>
        <w:shd w:val="clear" w:color="ffffff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band1Vert">
      <w:tcPr>
        <w:shd w:val="clear" w:color="ffffff" w:fill="a9bee4" w:themeFill="accent5" w:themeFillTint="75"/>
      </w:tcPr>
    </w:tblStylePr>
    <w:tblStylePr w:type="band1Horz">
      <w:tcPr>
        <w:shd w:val="clear" w:color="ffffff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fbfbf" w:themeFill="text1" w:themeFillTint="40"/>
      </w:tcPr>
    </w:tblStylePr>
    <w:tblStylePr w:type="band1Horz">
      <w:tcPr>
        <w:shd w:val="clear" w:color="ffffff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tcPr>
        <w:shd w:val="clear" w:color="ffffff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f" w:themeFill="accent4" w:themeFillTint="40"/>
      </w:tcPr>
    </w:tblStylePr>
    <w:tblStylePr w:type="band1Horz">
      <w:tcPr>
        <w:shd w:val="clear" w:color="ffffff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cfdbf0" w:themeFill="accent5" w:themeFillTint="40"/>
      </w:tcPr>
    </w:tblStylePr>
    <w:tblStylePr w:type="band1Horz">
      <w:tcPr>
        <w:shd w:val="clear" w:color="ffffff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Body Text"/>
    <w:basedOn w:val="a"/>
    <w:link w:val="af5"/>
    <w:pPr>
      <w:spacing w:after="120"/>
    </w:pPr>
  </w:style>
  <w:style w:type="character" w:styleId="af5" w:customStyle="1">
    <w:name w:val="Основной текст Знак"/>
    <w:basedOn w:val="a0"/>
    <w:link w:val="af4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8" w:customStyle="1">
    <w:name w:val="Текст выноски Знак"/>
    <w:basedOn w:val="a0"/>
    <w:link w:val="af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styleId="afb" w:customStyle="1">
    <w:name w:val="Верхний колонтитул Знак"/>
    <w:basedOn w:val="a0"/>
    <w:link w:val="afa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styleId="afd" w:customStyle="1">
    <w:name w:val="Нижний колонтитул Знак"/>
    <w:basedOn w:val="a0"/>
    <w:link w:val="afc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2093</Characters>
  <CharactersWithSpaces>2456</CharactersWithSpaces>
  <Company/>
  <DocSecurity>0</DocSecurity>
  <HyperlinksChanged>false</HyperlinksChanged>
  <Lines>17</Lines>
  <LinksUpToDate>false</LinksUpToDate>
  <Pages>1</Pages>
  <Paragraphs>4</Paragraphs>
  <ScaleCrop>false</ScaleCrop>
  <SharedDoc>false</SharedDoc>
  <Template>Normal</Template>
  <TotalTime>0</TotalTime>
  <Words>367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1</cp:lastModifiedBy>
  <cp:revision>2</cp:revision>
  <dcterms:created xsi:type="dcterms:W3CDTF">2024-10-10T09:54:00Z</dcterms:created>
  <dcterms:modified xsi:type="dcterms:W3CDTF">2024-10-10T09:54:00Z</dcterms:modified>
</cp:coreProperties>
</file>